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10207B" w:rsidRDefault="001058CA" w:rsidP="001058CA">
      <w:pPr>
        <w:jc w:val="center"/>
        <w:rPr>
          <w:b/>
        </w:rPr>
      </w:pPr>
      <w:r w:rsidRPr="0010207B">
        <w:rPr>
          <w:b/>
        </w:rPr>
        <w:t xml:space="preserve">AO PROJETO DE LEI MUNICIPAL Nº </w:t>
      </w:r>
      <w:r w:rsidR="00AD5EEA" w:rsidRPr="0010207B">
        <w:rPr>
          <w:b/>
          <w:color w:val="000000"/>
          <w:sz w:val="27"/>
          <w:szCs w:val="27"/>
        </w:rPr>
        <w:t>001 DE 08 DE JANEIRO DE 2019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Pr="0010207B" w:rsidRDefault="00AD5EEA" w:rsidP="001058CA">
      <w:pPr>
        <w:ind w:left="3402"/>
        <w:jc w:val="both"/>
        <w:rPr>
          <w:b/>
        </w:rPr>
      </w:pPr>
      <w:r w:rsidRPr="0010207B">
        <w:rPr>
          <w:b/>
          <w:color w:val="000000"/>
          <w:sz w:val="27"/>
          <w:szCs w:val="27"/>
        </w:rPr>
        <w:t>CORRIGE O VALOR VENAL DE IMÓVEIS PARA FINS DE COBRANÇA DE IMPOSTOS, CONCEDE DESCONTO E ALTERA DATAS DE VENCIMENTOS</w:t>
      </w:r>
      <w:r w:rsidR="001058CA" w:rsidRPr="0010207B">
        <w:rPr>
          <w:b/>
        </w:rPr>
        <w:t>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1058CA" w:rsidRPr="001058CA" w:rsidRDefault="001058CA" w:rsidP="004A0680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analise Legislativa por meio de Convocação para Sessão Extraordinária, por solicitação do Excelentíssimo </w:t>
      </w:r>
      <w:proofErr w:type="gramStart"/>
      <w:r w:rsidRPr="001058CA">
        <w:t>Sr.</w:t>
      </w:r>
      <w:proofErr w:type="gramEnd"/>
      <w:r w:rsidRPr="001058CA">
        <w:t xml:space="preserve"> Prefeito Municipal ao Ilustríssimo Sr. Presidente do Legislativo  conforme Of. PMBF nº </w:t>
      </w:r>
      <w:r w:rsidR="00AD5EEA">
        <w:t>004/2019.</w:t>
      </w:r>
    </w:p>
    <w:p w:rsidR="003728AA" w:rsidRDefault="001058CA" w:rsidP="00313FB9">
      <w:pPr>
        <w:spacing w:before="100" w:beforeAutospacing="1" w:after="100" w:afterAutospacing="1" w:line="360" w:lineRule="auto"/>
        <w:ind w:firstLine="708"/>
        <w:jc w:val="both"/>
      </w:pPr>
      <w:r>
        <w:t xml:space="preserve">A convocação para </w:t>
      </w:r>
      <w:r w:rsidR="000C7BE3">
        <w:t xml:space="preserve">a Sessão Legislativa Extraordinária se deu em conformidade com o estabelecido no Art. </w:t>
      </w:r>
      <w:r w:rsidR="00AD5EEA">
        <w:t>124</w:t>
      </w:r>
      <w:r w:rsidR="000C7BE3">
        <w:t xml:space="preserve"> §1º </w:t>
      </w:r>
      <w:r w:rsidR="00AD5EEA">
        <w:t>e §2º</w:t>
      </w:r>
      <w:r w:rsidR="00313FB9">
        <w:t>,</w:t>
      </w:r>
      <w:r w:rsidR="00AD5EEA">
        <w:t xml:space="preserve"> </w:t>
      </w:r>
      <w:r w:rsidR="000C7BE3">
        <w:t>da Resolução n</w:t>
      </w:r>
      <w:r w:rsidR="00313FB9">
        <w:t>º 367 de 15 de dezembro de 2015,</w:t>
      </w:r>
      <w:r w:rsidR="000C7BE3">
        <w:t xml:space="preserve"> Regimento </w:t>
      </w:r>
      <w:r w:rsidR="00AD5EEA">
        <w:t xml:space="preserve">interno </w:t>
      </w:r>
      <w:r w:rsidR="000C7BE3">
        <w:t xml:space="preserve">da Câmara Municipal de vereadores, observada a antecedência mínima de </w:t>
      </w:r>
      <w:r w:rsidR="00AD5EEA">
        <w:t>48 horas da convocação e a divulgação com antecedência de 24 horas da data e hora da Sessão.</w:t>
      </w:r>
    </w:p>
    <w:p w:rsidR="004A0680" w:rsidRDefault="003728AA" w:rsidP="00AD5EEA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t xml:space="preserve"> </w:t>
      </w:r>
      <w:r w:rsidR="008D1BDD">
        <w:tab/>
      </w:r>
      <w:r w:rsidRPr="001D5665">
        <w:t xml:space="preserve">Incumbe a esta assessoria jurídica analisar tecnicamente </w:t>
      </w:r>
      <w:r w:rsidR="008D1BDD" w:rsidRPr="001D5665">
        <w:t>o</w:t>
      </w:r>
      <w:r w:rsidR="000C7BE3" w:rsidRPr="001D5665">
        <w:t xml:space="preserve"> projeto</w:t>
      </w:r>
      <w:r w:rsidRPr="001D5665">
        <w:t xml:space="preserve"> que</w:t>
      </w:r>
      <w:r w:rsidR="000C7BE3" w:rsidRPr="001D5665">
        <w:t xml:space="preserve"> visa </w:t>
      </w:r>
      <w:r w:rsidR="00AD5EEA" w:rsidRPr="001D5665">
        <w:rPr>
          <w:color w:val="000000"/>
        </w:rPr>
        <w:t>corrigir o valor venal de imóveis par</w:t>
      </w:r>
      <w:r w:rsidR="001D5665" w:rsidRPr="001D5665">
        <w:rPr>
          <w:color w:val="000000"/>
        </w:rPr>
        <w:t xml:space="preserve">a fins de cobrança de impostos, </w:t>
      </w:r>
      <w:r w:rsidR="00AD5EEA" w:rsidRPr="001D5665">
        <w:rPr>
          <w:color w:val="000000"/>
        </w:rPr>
        <w:t>concede</w:t>
      </w:r>
      <w:r w:rsidR="001D5665" w:rsidRPr="001D5665">
        <w:rPr>
          <w:color w:val="000000"/>
        </w:rPr>
        <w:t>r</w:t>
      </w:r>
      <w:r w:rsidR="00AD5EEA" w:rsidRPr="001D5665">
        <w:rPr>
          <w:color w:val="000000"/>
        </w:rPr>
        <w:t xml:space="preserve"> desconto e altera</w:t>
      </w:r>
      <w:r w:rsidR="001D5665" w:rsidRPr="001D5665">
        <w:rPr>
          <w:color w:val="000000"/>
        </w:rPr>
        <w:t>r</w:t>
      </w:r>
      <w:r w:rsidR="00AD5EEA" w:rsidRPr="001D5665">
        <w:rPr>
          <w:color w:val="000000"/>
        </w:rPr>
        <w:t xml:space="preserve"> datas de vencimentos.</w:t>
      </w:r>
    </w:p>
    <w:p w:rsidR="001D5665" w:rsidRPr="00E95AE6" w:rsidRDefault="001D5665" w:rsidP="001D5665">
      <w:pPr>
        <w:spacing w:before="100" w:beforeAutospacing="1" w:after="100" w:afterAutospacing="1" w:line="360" w:lineRule="auto"/>
        <w:jc w:val="both"/>
        <w:rPr>
          <w:color w:val="000000"/>
        </w:rPr>
      </w:pPr>
      <w:r>
        <w:rPr>
          <w:color w:val="000000"/>
        </w:rPr>
        <w:tab/>
        <w:t xml:space="preserve">Conforme justificativa a necessidade de tal projeto se dá em razão do </w:t>
      </w:r>
      <w:r w:rsidRPr="001D5665">
        <w:rPr>
          <w:color w:val="000000"/>
        </w:rPr>
        <w:t>resultado obtido pelo índice do IGPM-FGV (Índice Geral de Preços de Mercado) medido de 01/01/2018 a 31/12/2018, divulgado pela Fundação Getúlio Vargas</w:t>
      </w:r>
      <w:r w:rsidR="00313FB9">
        <w:rPr>
          <w:color w:val="000000"/>
        </w:rPr>
        <w:t>.</w:t>
      </w:r>
    </w:p>
    <w:p w:rsidR="00FE19F5" w:rsidRDefault="008D1BDD" w:rsidP="00957502">
      <w:pPr>
        <w:pStyle w:val="NormalWeb"/>
        <w:spacing w:line="360" w:lineRule="auto"/>
        <w:ind w:firstLine="527"/>
        <w:jc w:val="both"/>
      </w:pPr>
      <w:r w:rsidRPr="00957502">
        <w:rPr>
          <w:b/>
        </w:rPr>
        <w:t xml:space="preserve">QUANTO A COMPETÊNCIA, </w:t>
      </w:r>
      <w:r w:rsidR="00FE19F5" w:rsidRPr="00957502">
        <w:t>o projeto é de matéria de competência do Município conforme disposto no Art. 30. Da Constituição Federal.</w:t>
      </w:r>
    </w:p>
    <w:p w:rsidR="00313FB9" w:rsidRDefault="00313FB9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</w:p>
    <w:p w:rsidR="00313FB9" w:rsidRDefault="00313FB9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</w:p>
    <w:p w:rsidR="00313FB9" w:rsidRDefault="00313FB9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</w:p>
    <w:p w:rsidR="00313FB9" w:rsidRDefault="00313FB9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</w:p>
    <w:p w:rsidR="001D5665" w:rsidRPr="00313FB9" w:rsidRDefault="001D5665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  <w:r w:rsidRPr="00313FB9">
        <w:rPr>
          <w:b/>
          <w:color w:val="000000"/>
          <w:shd w:val="clear" w:color="auto" w:fill="FFFFFF"/>
        </w:rPr>
        <w:t>Art. 30. Compete aos Municípios:</w:t>
      </w:r>
    </w:p>
    <w:p w:rsidR="001D5665" w:rsidRPr="00313FB9" w:rsidRDefault="001D5665" w:rsidP="00E95AE6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  <w:shd w:val="clear" w:color="auto" w:fill="FFFFFF"/>
        </w:rPr>
      </w:pPr>
      <w:r w:rsidRPr="00313FB9">
        <w:rPr>
          <w:b/>
          <w:color w:val="000000"/>
          <w:shd w:val="clear" w:color="auto" w:fill="FFFFFF"/>
        </w:rPr>
        <w:t>III - instituir e arrecadar os tributos de sua competência, bem como aplicar suas rendas, sem prejuízo da obrigatoriedade de prestar contas e publicar balancetes nos prazos fixados em lei;</w:t>
      </w:r>
    </w:p>
    <w:p w:rsidR="00E95AE6" w:rsidRDefault="00EE6CC0" w:rsidP="00E95AE6">
      <w:pPr>
        <w:pStyle w:val="NormalWeb"/>
        <w:spacing w:line="360" w:lineRule="auto"/>
        <w:ind w:firstLine="527"/>
        <w:jc w:val="both"/>
        <w:rPr>
          <w:color w:val="000000"/>
        </w:rPr>
      </w:pPr>
      <w:r>
        <w:rPr>
          <w:color w:val="000000"/>
        </w:rPr>
        <w:t>O artigo 32 do Código Tributário Nacional determina que:</w:t>
      </w:r>
    </w:p>
    <w:p w:rsidR="001D5665" w:rsidRDefault="00EE6CC0" w:rsidP="00E95AE6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</w:rPr>
      </w:pPr>
      <w:r>
        <w:rPr>
          <w:color w:val="000000"/>
        </w:rPr>
        <w:t> Art. 32. O imposto, de competência dos Municípios, sobre a propriedade predial e territorial urbana tem como fato gerador a propriedade, o domínio útil ou a posse de bem imóvel por natureza ou por acessão física, como definido na lei civil, localizado na zona urbana do Município.</w:t>
      </w:r>
    </w:p>
    <w:p w:rsidR="00EE6CC0" w:rsidRPr="00E95AE6" w:rsidRDefault="00EE6CC0" w:rsidP="00957502">
      <w:pPr>
        <w:pStyle w:val="NormalWeb"/>
        <w:spacing w:line="360" w:lineRule="auto"/>
        <w:ind w:firstLine="527"/>
        <w:jc w:val="both"/>
        <w:rPr>
          <w:color w:val="000000"/>
        </w:rPr>
      </w:pPr>
      <w:r>
        <w:rPr>
          <w:color w:val="000000"/>
        </w:rPr>
        <w:t xml:space="preserve">A Lei Municipal n 189 de 28 de dezembro de 1995, que institui o Código Tributário </w:t>
      </w:r>
      <w:r w:rsidRPr="00E95AE6">
        <w:rPr>
          <w:color w:val="000000"/>
        </w:rPr>
        <w:t>Municipal, também estabelece que:</w:t>
      </w:r>
    </w:p>
    <w:p w:rsidR="00EE6CC0" w:rsidRPr="00313FB9" w:rsidRDefault="00EE6CC0" w:rsidP="00EE6CC0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</w:rPr>
      </w:pPr>
      <w:r w:rsidRPr="00313FB9">
        <w:rPr>
          <w:b/>
          <w:bCs/>
          <w:color w:val="000000"/>
        </w:rPr>
        <w:t>Art. 2º</w:t>
      </w:r>
      <w:r w:rsidRPr="00313FB9">
        <w:rPr>
          <w:b/>
          <w:color w:val="000000"/>
        </w:rPr>
        <w:t> Os tributos de competência do Município são os seguintes:   </w:t>
      </w:r>
      <w:r w:rsidRPr="00313FB9">
        <w:rPr>
          <w:b/>
          <w:bCs/>
          <w:color w:val="000000"/>
        </w:rPr>
        <w:t>I-</w:t>
      </w:r>
      <w:r w:rsidRPr="00313FB9">
        <w:rPr>
          <w:b/>
          <w:color w:val="000000"/>
        </w:rPr>
        <w:t> Imposto sobre:</w:t>
      </w:r>
    </w:p>
    <w:p w:rsidR="00EE6CC0" w:rsidRPr="00313FB9" w:rsidRDefault="00EE6CC0" w:rsidP="00EE6CC0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</w:rPr>
      </w:pPr>
      <w:r w:rsidRPr="00313FB9">
        <w:rPr>
          <w:b/>
          <w:color w:val="000000"/>
        </w:rPr>
        <w:t>  </w:t>
      </w:r>
      <w:proofErr w:type="gramStart"/>
      <w:r w:rsidRPr="00313FB9">
        <w:rPr>
          <w:b/>
          <w:bCs/>
          <w:i/>
          <w:iCs/>
          <w:color w:val="000000"/>
        </w:rPr>
        <w:t>a</w:t>
      </w:r>
      <w:proofErr w:type="gramEnd"/>
      <w:r w:rsidRPr="00313FB9">
        <w:rPr>
          <w:b/>
          <w:bCs/>
          <w:i/>
          <w:iCs/>
          <w:color w:val="000000"/>
        </w:rPr>
        <w:t>)</w:t>
      </w:r>
      <w:r w:rsidRPr="00313FB9">
        <w:rPr>
          <w:b/>
          <w:color w:val="000000"/>
        </w:rPr>
        <w:t> Propriedade Predial e Territorial Urbano;</w:t>
      </w:r>
    </w:p>
    <w:p w:rsidR="001D5665" w:rsidRDefault="00EE6CC0" w:rsidP="00957502">
      <w:pPr>
        <w:pStyle w:val="NormalWeb"/>
        <w:spacing w:line="360" w:lineRule="auto"/>
        <w:ind w:firstLine="527"/>
        <w:jc w:val="both"/>
      </w:pPr>
      <w:r>
        <w:t>Diante do exposto, resta clara a competência do município para legislar sobre a referida matéria.</w:t>
      </w:r>
    </w:p>
    <w:p w:rsidR="00EE6CC0" w:rsidRDefault="00EE6CC0" w:rsidP="00957502">
      <w:pPr>
        <w:pStyle w:val="NormalWeb"/>
        <w:spacing w:line="360" w:lineRule="auto"/>
        <w:ind w:firstLine="527"/>
        <w:jc w:val="both"/>
      </w:pPr>
      <w:r>
        <w:t>No que tange a concessão do desconto, preza o art</w:t>
      </w:r>
      <w:r w:rsidR="00313FB9">
        <w:t>.</w:t>
      </w:r>
      <w:r>
        <w:t xml:space="preserve"> 160 do CTN que:</w:t>
      </w:r>
    </w:p>
    <w:p w:rsidR="00EE6CC0" w:rsidRDefault="00EE6CC0" w:rsidP="00E95AE6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>
        <w:rPr>
          <w:color w:val="000000"/>
        </w:rPr>
        <w:t>Art. 160. Quando a legislação tributária não fixar o tempo do pagamento, o vencimento do crédito ocorre trinta dias depois da data em que se considera o sujeito passivo notificado do lançamento.</w:t>
      </w:r>
    </w:p>
    <w:p w:rsidR="00EE6CC0" w:rsidRDefault="00EE6CC0" w:rsidP="00EE6CC0">
      <w:pPr>
        <w:pStyle w:val="NormalWeb"/>
        <w:spacing w:before="0" w:beforeAutospacing="0" w:after="0" w:afterAutospacing="0"/>
        <w:ind w:left="2268"/>
        <w:rPr>
          <w:b/>
          <w:color w:val="000000"/>
        </w:rPr>
      </w:pPr>
      <w:r>
        <w:rPr>
          <w:color w:val="000000"/>
        </w:rPr>
        <w:t xml:space="preserve">        </w:t>
      </w:r>
      <w:r w:rsidRPr="00EE6CC0">
        <w:rPr>
          <w:b/>
          <w:color w:val="000000"/>
        </w:rPr>
        <w:t>Parágrafo único. A legislação tributária pode conceder desconto pela antecipação do pagamento, nas condições que estabeleça.</w:t>
      </w:r>
    </w:p>
    <w:p w:rsidR="0010207B" w:rsidRDefault="0010207B" w:rsidP="0010207B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ab/>
      </w:r>
    </w:p>
    <w:p w:rsidR="0010207B" w:rsidRPr="0010207B" w:rsidRDefault="0010207B" w:rsidP="0010207B">
      <w:pPr>
        <w:pStyle w:val="NormalWeb"/>
        <w:spacing w:before="0" w:beforeAutospacing="0" w:after="0" w:afterAutospacing="0" w:line="360" w:lineRule="auto"/>
        <w:ind w:firstLine="527"/>
        <w:rPr>
          <w:color w:val="000000"/>
        </w:rPr>
      </w:pPr>
      <w:r w:rsidRPr="0010207B">
        <w:rPr>
          <w:color w:val="000000"/>
        </w:rPr>
        <w:t>Também nesse sentido, o Código tributário Municipal permite que:</w:t>
      </w:r>
    </w:p>
    <w:p w:rsidR="0010207B" w:rsidRPr="0010207B" w:rsidRDefault="0010207B" w:rsidP="0010207B">
      <w:pPr>
        <w:pStyle w:val="NormalWeb"/>
        <w:spacing w:before="0" w:beforeAutospacing="0" w:after="0" w:afterAutospacing="0"/>
        <w:ind w:left="2268" w:firstLine="527"/>
        <w:jc w:val="both"/>
        <w:rPr>
          <w:b/>
          <w:color w:val="000000"/>
        </w:rPr>
      </w:pPr>
      <w:r w:rsidRPr="0010207B">
        <w:rPr>
          <w:b/>
          <w:bCs/>
          <w:color w:val="000000"/>
        </w:rPr>
        <w:t>Art. 19.</w:t>
      </w:r>
      <w:r w:rsidRPr="0010207B">
        <w:rPr>
          <w:b/>
          <w:color w:val="000000"/>
        </w:rPr>
        <w:t> O contribuinte que optar pelo pagamento do Imposto em quota única, poderá gozar de desconto estabelecido em regulamento.</w:t>
      </w:r>
    </w:p>
    <w:p w:rsidR="00313FB9" w:rsidRDefault="00E95AE6" w:rsidP="008F0692">
      <w:pPr>
        <w:pStyle w:val="NormalWeb"/>
        <w:spacing w:line="360" w:lineRule="auto"/>
        <w:ind w:firstLine="527"/>
        <w:jc w:val="both"/>
        <w:rPr>
          <w:color w:val="000000"/>
          <w:shd w:val="clear" w:color="auto" w:fill="FFFFFF"/>
        </w:rPr>
      </w:pPr>
      <w:r w:rsidRPr="00E95AE6">
        <w:rPr>
          <w:color w:val="000000"/>
          <w:shd w:val="clear" w:color="auto" w:fill="FFFFFF"/>
        </w:rPr>
        <w:t>Nesse sentido, temos que o Código tributário nacional concede a prerrogativa ao ente cuja competência é atribuída ao recolhimento do tributo que conceda descontos pela antecipação do pagamento. Também, cabe salienta</w:t>
      </w:r>
      <w:r w:rsidR="008F0692">
        <w:rPr>
          <w:color w:val="000000"/>
          <w:shd w:val="clear" w:color="auto" w:fill="FFFFFF"/>
        </w:rPr>
        <w:t xml:space="preserve">r que o desconto trata-se de </w:t>
      </w:r>
      <w:proofErr w:type="gramStart"/>
      <w:r w:rsidR="008F0692">
        <w:rPr>
          <w:color w:val="000000"/>
          <w:shd w:val="clear" w:color="auto" w:fill="FFFFFF"/>
        </w:rPr>
        <w:t>um</w:t>
      </w:r>
      <w:proofErr w:type="gramEnd"/>
    </w:p>
    <w:p w:rsidR="00313FB9" w:rsidRDefault="00313FB9" w:rsidP="00313FB9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</w:p>
    <w:p w:rsidR="00EE6CC0" w:rsidRPr="00E95AE6" w:rsidRDefault="00E95AE6" w:rsidP="00313FB9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  <w:proofErr w:type="gramStart"/>
      <w:r w:rsidRPr="00E95AE6">
        <w:rPr>
          <w:color w:val="000000"/>
          <w:shd w:val="clear" w:color="auto" w:fill="FFFFFF"/>
        </w:rPr>
        <w:t>incentivo</w:t>
      </w:r>
      <w:proofErr w:type="gramEnd"/>
      <w:r w:rsidRPr="00E95AE6">
        <w:rPr>
          <w:color w:val="000000"/>
          <w:shd w:val="clear" w:color="auto" w:fill="FFFFFF"/>
        </w:rPr>
        <w:t xml:space="preserve"> ao pagamento antecipado, e por consequente a arrecadação da receita de forma mais imediata aos cofres públicos.</w:t>
      </w:r>
    </w:p>
    <w:p w:rsidR="00E95AE6" w:rsidRPr="0010207B" w:rsidRDefault="00E95AE6" w:rsidP="00957502">
      <w:pPr>
        <w:pStyle w:val="NormalWeb"/>
        <w:spacing w:line="360" w:lineRule="auto"/>
        <w:ind w:firstLine="527"/>
        <w:jc w:val="both"/>
        <w:rPr>
          <w:color w:val="000000"/>
          <w:shd w:val="clear" w:color="auto" w:fill="FFFFFF"/>
        </w:rPr>
      </w:pPr>
      <w:r w:rsidRPr="0010207B">
        <w:rPr>
          <w:color w:val="000000"/>
          <w:shd w:val="clear" w:color="auto" w:fill="FFFFFF"/>
        </w:rPr>
        <w:t xml:space="preserve">Importante frisar ainda, a orientação que o legislador constitucional nos traz no entendimento do </w:t>
      </w:r>
      <w:r w:rsidR="00EE6CC0" w:rsidRPr="0010207B">
        <w:rPr>
          <w:color w:val="000000"/>
          <w:shd w:val="clear" w:color="auto" w:fill="FFFFFF"/>
        </w:rPr>
        <w:t>Art. 150</w:t>
      </w:r>
      <w:r w:rsidRPr="0010207B">
        <w:rPr>
          <w:color w:val="000000"/>
          <w:shd w:val="clear" w:color="auto" w:fill="FFFFFF"/>
        </w:rPr>
        <w:t xml:space="preserve">, </w:t>
      </w:r>
      <w:r w:rsidR="0010207B">
        <w:rPr>
          <w:color w:val="000000"/>
          <w:shd w:val="clear" w:color="auto" w:fill="FFFFFF"/>
        </w:rPr>
        <w:t>§ 6º</w:t>
      </w:r>
      <w:r w:rsidRPr="0010207B">
        <w:rPr>
          <w:color w:val="000000"/>
          <w:shd w:val="clear" w:color="auto" w:fill="FFFFFF"/>
        </w:rPr>
        <w:t>, da CF:</w:t>
      </w:r>
    </w:p>
    <w:p w:rsidR="00EE6CC0" w:rsidRPr="00E95AE6" w:rsidRDefault="00E95AE6" w:rsidP="00E95AE6">
      <w:pPr>
        <w:pStyle w:val="NormalWeb"/>
        <w:spacing w:before="0" w:beforeAutospacing="0" w:after="0" w:afterAutospacing="0"/>
        <w:ind w:left="2268" w:firstLine="527"/>
        <w:jc w:val="both"/>
        <w:rPr>
          <w:color w:val="000000"/>
          <w:shd w:val="clear" w:color="auto" w:fill="FFFFFF"/>
        </w:rPr>
      </w:pPr>
      <w:r w:rsidRPr="00E95AE6">
        <w:rPr>
          <w:color w:val="000000"/>
          <w:shd w:val="clear" w:color="auto" w:fill="FFFFFF"/>
        </w:rPr>
        <w:t>Art. 150</w:t>
      </w:r>
      <w:r>
        <w:rPr>
          <w:color w:val="000000"/>
          <w:shd w:val="clear" w:color="auto" w:fill="FFFFFF"/>
        </w:rPr>
        <w:t xml:space="preserve">. </w:t>
      </w:r>
      <w:r w:rsidR="00EE6CC0" w:rsidRPr="00E95AE6">
        <w:rPr>
          <w:color w:val="000000"/>
          <w:shd w:val="clear" w:color="auto" w:fill="FFFFFF"/>
        </w:rPr>
        <w:t>Sem prejuízo de outras garantias asseguradas ao contribuinte, é vedado à União, aos Estados, ao Distrito Federal e aos Municípios:</w:t>
      </w:r>
    </w:p>
    <w:p w:rsidR="00EE6CC0" w:rsidRDefault="00EE6CC0" w:rsidP="00E95AE6">
      <w:pPr>
        <w:pStyle w:val="NormalWeb"/>
        <w:spacing w:before="0" w:beforeAutospacing="0" w:after="0" w:afterAutospacing="0"/>
        <w:ind w:left="2268" w:firstLine="527"/>
        <w:jc w:val="both"/>
      </w:pPr>
      <w:r w:rsidRPr="00E95AE6">
        <w:rPr>
          <w:color w:val="000000"/>
          <w:shd w:val="clear" w:color="auto" w:fill="FFFFFF"/>
        </w:rPr>
        <w:t xml:space="preserve">§ 6º Qualquer subsídio ou isenção, redução de base de cálculo, concessão de crédito presumido, anistia ou remissão, relativos a impostos, taxas ou contribuições, só poderá ser </w:t>
      </w:r>
      <w:r w:rsidRPr="00E95AE6">
        <w:rPr>
          <w:b/>
          <w:color w:val="000000"/>
          <w:shd w:val="clear" w:color="auto" w:fill="FFFFFF"/>
        </w:rPr>
        <w:t>concedido mediante lei específica</w:t>
      </w:r>
      <w:r w:rsidRPr="00E95AE6">
        <w:rPr>
          <w:color w:val="000000"/>
          <w:shd w:val="clear" w:color="auto" w:fill="FFFFFF"/>
        </w:rPr>
        <w:t xml:space="preserve">, </w:t>
      </w:r>
      <w:r w:rsidRPr="00E95AE6">
        <w:rPr>
          <w:b/>
          <w:color w:val="000000"/>
          <w:shd w:val="clear" w:color="auto" w:fill="FFFFFF"/>
        </w:rPr>
        <w:t>federal, estadual ou municipal, que regule exclusivamente as matérias acima enumeradas ou o correspondente tributo ou contribuição</w:t>
      </w:r>
      <w:r w:rsidRPr="00E95AE6">
        <w:rPr>
          <w:color w:val="000000"/>
          <w:shd w:val="clear" w:color="auto" w:fill="FFFFFF"/>
        </w:rPr>
        <w:t>, sem prejuízo do disposto no art. 155, § 2.º, XII, g. </w:t>
      </w:r>
      <w:hyperlink r:id="rId5" w:anchor="art1" w:history="1">
        <w:r w:rsidRPr="00E95AE6">
          <w:rPr>
            <w:rStyle w:val="Hyperlink"/>
            <w:shd w:val="clear" w:color="auto" w:fill="FFFFFF"/>
          </w:rPr>
          <w:t>(Redação dada pela Emenda Constitucional nº 3, de 1993)</w:t>
        </w:r>
        <w:proofErr w:type="gramStart"/>
      </w:hyperlink>
      <w:proofErr w:type="gramEnd"/>
    </w:p>
    <w:p w:rsidR="00E95AE6" w:rsidRDefault="00E95AE6" w:rsidP="00E95AE6">
      <w:pPr>
        <w:pStyle w:val="NormalWeb"/>
        <w:spacing w:before="0" w:beforeAutospacing="0" w:after="0" w:afterAutospacing="0"/>
        <w:jc w:val="both"/>
      </w:pPr>
    </w:p>
    <w:p w:rsidR="00E95AE6" w:rsidRPr="00E95AE6" w:rsidRDefault="00E95AE6" w:rsidP="0010207B">
      <w:pPr>
        <w:pStyle w:val="NormalWeb"/>
        <w:spacing w:before="0" w:beforeAutospacing="0" w:after="0" w:afterAutospacing="0" w:line="360" w:lineRule="auto"/>
        <w:contextualSpacing/>
        <w:jc w:val="both"/>
      </w:pPr>
      <w:r>
        <w:tab/>
        <w:t xml:space="preserve">Sob a orientação do artigo anterior, destaca-se que o projeto não versa sobre </w:t>
      </w:r>
      <w:r w:rsidR="0010207B">
        <w:t>anistia ou remissão, e sim, a concessão de desconto por antecipação, caracterizando-se como incentivo ao pagamento do tributo.</w:t>
      </w:r>
    </w:p>
    <w:p w:rsidR="003728AA" w:rsidRDefault="003728AA" w:rsidP="004519AD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a referida </w:t>
      </w:r>
      <w:r w:rsidR="0010207B">
        <w:t>preposição</w:t>
      </w:r>
      <w:r w:rsidRPr="00F5545A">
        <w:t xml:space="preserve"> é LEGAL e CONSTITUCIONA</w:t>
      </w:r>
      <w:r w:rsidR="00F5545A" w:rsidRPr="00F5545A">
        <w:t>L</w:t>
      </w:r>
      <w:r w:rsidR="0010207B">
        <w:t xml:space="preserve">, nos termos da Constituição Federal, Código Tributário Nacional, </w:t>
      </w:r>
      <w:r w:rsidR="0010207B">
        <w:rPr>
          <w:color w:val="000000"/>
        </w:rPr>
        <w:t xml:space="preserve">Lei Municipal n 189 de 28 de dezembro de 1995, Código Tributário </w:t>
      </w:r>
      <w:r w:rsidR="0010207B" w:rsidRPr="00E95AE6">
        <w:rPr>
          <w:color w:val="000000"/>
        </w:rPr>
        <w:t>Municipal</w:t>
      </w:r>
      <w:r w:rsidR="0010207B">
        <w:rPr>
          <w:color w:val="000000"/>
        </w:rPr>
        <w:t xml:space="preserve"> e Lei Orgânica Municipal, </w:t>
      </w:r>
      <w:r w:rsidR="00F5545A">
        <w:t xml:space="preserve">razão pela qual O PARECER </w:t>
      </w:r>
      <w:r w:rsidR="004519AD">
        <w:t>desta Assessoria Jurídica é FAVORÁVEL, estando apto a ser analisado pelo legislativo.</w:t>
      </w:r>
    </w:p>
    <w:p w:rsidR="00F5545A" w:rsidRDefault="00F5545A" w:rsidP="00313FB9">
      <w:pPr>
        <w:spacing w:before="100" w:beforeAutospacing="1" w:after="100" w:afterAutospacing="1" w:line="360" w:lineRule="auto"/>
        <w:jc w:val="both"/>
      </w:pPr>
    </w:p>
    <w:p w:rsidR="00B86EFB" w:rsidRDefault="00B86EFB" w:rsidP="008F0692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313FB9">
        <w:t>11 de janeiro de 2019.</w:t>
      </w:r>
      <w:bookmarkStart w:id="0" w:name="_GoBack"/>
      <w:bookmarkEnd w:id="0"/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313FB9">
      <w:pPr>
        <w:ind w:firstLine="709"/>
        <w:jc w:val="center"/>
      </w:pPr>
      <w:r>
        <w:t>Assessora jurídica</w:t>
      </w:r>
      <w:r w:rsidR="00313FB9">
        <w:t>/OAB RS 86.539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C7BE3"/>
    <w:rsid w:val="0010207B"/>
    <w:rsid w:val="001058CA"/>
    <w:rsid w:val="001A5B20"/>
    <w:rsid w:val="001D5665"/>
    <w:rsid w:val="0030531A"/>
    <w:rsid w:val="00313FB9"/>
    <w:rsid w:val="003728AA"/>
    <w:rsid w:val="00422186"/>
    <w:rsid w:val="004519AD"/>
    <w:rsid w:val="004A0680"/>
    <w:rsid w:val="00572EA8"/>
    <w:rsid w:val="0067076C"/>
    <w:rsid w:val="007D1885"/>
    <w:rsid w:val="008A7D42"/>
    <w:rsid w:val="008D1BDD"/>
    <w:rsid w:val="008F0692"/>
    <w:rsid w:val="00911412"/>
    <w:rsid w:val="00957502"/>
    <w:rsid w:val="009B4136"/>
    <w:rsid w:val="00A141E1"/>
    <w:rsid w:val="00AD5EEA"/>
    <w:rsid w:val="00B510D4"/>
    <w:rsid w:val="00B86EFB"/>
    <w:rsid w:val="00C544A1"/>
    <w:rsid w:val="00DE512A"/>
    <w:rsid w:val="00E95AE6"/>
    <w:rsid w:val="00EE6CC0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EE6C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EE6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constituicao/Emendas/Emc/emc0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2018-02-07T10:54:00Z</cp:lastPrinted>
  <dcterms:created xsi:type="dcterms:W3CDTF">2019-01-11T16:37:00Z</dcterms:created>
  <dcterms:modified xsi:type="dcterms:W3CDTF">2019-01-11T16:39:00Z</dcterms:modified>
</cp:coreProperties>
</file>