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1B3C0B" w:rsidRDefault="00C92306" w:rsidP="001B3C0B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AO PROJETO DE LEI MUNICIPAL </w:t>
      </w:r>
      <w:r w:rsidR="001B3C0B" w:rsidRPr="001B3C0B">
        <w:rPr>
          <w:color w:val="000000" w:themeColor="text1"/>
        </w:rPr>
        <w:t xml:space="preserve">Nº </w:t>
      </w:r>
      <w:r w:rsidR="004613EE">
        <w:rPr>
          <w:color w:val="000000" w:themeColor="text1"/>
        </w:rPr>
        <w:t>004</w:t>
      </w:r>
      <w:r w:rsidR="001B3C0B" w:rsidRPr="001B3C0B">
        <w:rPr>
          <w:color w:val="000000" w:themeColor="text1"/>
        </w:rPr>
        <w:t xml:space="preserve"> DE </w:t>
      </w:r>
      <w:r w:rsidR="004613EE">
        <w:rPr>
          <w:color w:val="000000" w:themeColor="text1"/>
        </w:rPr>
        <w:t>11 DE MARÇO DE 2019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4613EE" w:rsidRDefault="001B3C0B" w:rsidP="001B3C0B">
      <w:pPr>
        <w:jc w:val="both"/>
        <w:rPr>
          <w:color w:val="000000" w:themeColor="text1"/>
        </w:rPr>
      </w:pPr>
    </w:p>
    <w:p w:rsidR="004613EE" w:rsidRPr="004613EE" w:rsidRDefault="004613EE" w:rsidP="004613EE">
      <w:pPr>
        <w:ind w:left="4253"/>
        <w:jc w:val="right"/>
        <w:rPr>
          <w:rFonts w:cs="Arial"/>
          <w:b/>
        </w:rPr>
      </w:pPr>
      <w:r w:rsidRPr="004613EE">
        <w:rPr>
          <w:rFonts w:cs="Arial"/>
        </w:rPr>
        <w:t>DISPÕE SOBRE O SISTEMA DE CONTROLE INTERNO DO MUNICÍPIO DE BARRA FUNDA E DÁ OUTRAS PROVIDÊNCIAS.</w:t>
      </w:r>
    </w:p>
    <w:p w:rsidR="001B3C0B" w:rsidRPr="004613EE" w:rsidRDefault="001B3C0B" w:rsidP="001B3C0B">
      <w:pPr>
        <w:ind w:left="4820"/>
        <w:jc w:val="both"/>
        <w:rPr>
          <w:color w:val="000000" w:themeColor="text1"/>
        </w:rPr>
      </w:pPr>
    </w:p>
    <w:p w:rsidR="004613EE" w:rsidRDefault="001B3C0B" w:rsidP="004613EE">
      <w:pPr>
        <w:spacing w:line="360" w:lineRule="auto"/>
        <w:ind w:firstLine="708"/>
        <w:jc w:val="both"/>
        <w:rPr>
          <w:rFonts w:cs="Arial"/>
        </w:rPr>
      </w:pPr>
      <w:r w:rsidRPr="004613EE">
        <w:rPr>
          <w:color w:val="000000" w:themeColor="text1"/>
        </w:rPr>
        <w:t xml:space="preserve">O presente projeto foi apresentado para análise Legislativa e visa conforme art.1 </w:t>
      </w:r>
      <w:r w:rsidR="004613EE">
        <w:rPr>
          <w:color w:val="000000" w:themeColor="text1"/>
        </w:rPr>
        <w:t>“</w:t>
      </w:r>
      <w:r w:rsidR="004613EE">
        <w:rPr>
          <w:rFonts w:cs="Arial"/>
        </w:rPr>
        <w:t>instituir</w:t>
      </w:r>
      <w:r w:rsidR="004613EE" w:rsidRPr="004613EE">
        <w:rPr>
          <w:rFonts w:cs="Arial"/>
        </w:rPr>
        <w:t xml:space="preserve"> o Sistema de Controle Interno no Município de Barra Funda, com o objetivo de promover a fiscalização contábil, financeira, orçamentária, operacional e patrimonial, quanto à legalidade, legitimidade, economicidade, eficiência e moralidade na gestão dos recursos, bem como avaliação dos resultado</w:t>
      </w:r>
      <w:r w:rsidR="004613EE">
        <w:rPr>
          <w:rFonts w:cs="Arial"/>
        </w:rPr>
        <w:t>s obtidos pelos órgãos públicos”.</w:t>
      </w:r>
    </w:p>
    <w:p w:rsidR="004613EE" w:rsidRDefault="004613EE" w:rsidP="004613EE">
      <w:pPr>
        <w:spacing w:line="360" w:lineRule="auto"/>
        <w:ind w:firstLine="708"/>
        <w:jc w:val="both"/>
        <w:rPr>
          <w:rFonts w:cs="Arial"/>
        </w:rPr>
      </w:pPr>
      <w:r w:rsidRPr="004613EE">
        <w:rPr>
          <w:rFonts w:cs="Arial"/>
        </w:rPr>
        <w:t>O Objetivo do projeto conforme descrito na justificativa é a atualização da Legislação Municipal instituidora do Sistema de Controle Interno do Município de Barra Funda/RS</w:t>
      </w:r>
      <w:r>
        <w:rPr>
          <w:rFonts w:cs="Arial"/>
        </w:rPr>
        <w:t>.</w:t>
      </w:r>
    </w:p>
    <w:p w:rsidR="003C6D44" w:rsidRDefault="004613EE" w:rsidP="004613EE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Nesse sentido, destaca-se que o sistema de controle interno</w:t>
      </w:r>
      <w:r w:rsidR="003C6D44">
        <w:rPr>
          <w:rFonts w:cs="Arial"/>
        </w:rPr>
        <w:t xml:space="preserve"> atualmente</w:t>
      </w:r>
      <w:r>
        <w:rPr>
          <w:rFonts w:cs="Arial"/>
        </w:rPr>
        <w:t xml:space="preserve"> é regulado pela</w:t>
      </w:r>
      <w:r w:rsidR="003C6D44">
        <w:rPr>
          <w:rFonts w:cs="Arial"/>
        </w:rPr>
        <w:t xml:space="preserve"> Lei Municipal nº 481 de 14 de novembro de 2002.</w:t>
      </w:r>
      <w:r>
        <w:rPr>
          <w:rFonts w:cs="Arial"/>
        </w:rPr>
        <w:t xml:space="preserve"> </w:t>
      </w:r>
    </w:p>
    <w:p w:rsidR="003C6D44" w:rsidRDefault="003C6D44" w:rsidP="004613EE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Na esfera Constitucional, o</w:t>
      </w:r>
      <w:r w:rsidR="002F2900">
        <w:rPr>
          <w:rFonts w:cs="Arial"/>
        </w:rPr>
        <w:t>s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art</w:t>
      </w:r>
      <w:r w:rsidR="002F2900">
        <w:rPr>
          <w:rFonts w:cs="Arial"/>
        </w:rPr>
        <w:t>s</w:t>
      </w:r>
      <w:proofErr w:type="spellEnd"/>
      <w:r>
        <w:rPr>
          <w:rFonts w:cs="Arial"/>
        </w:rPr>
        <w:t>. 74</w:t>
      </w:r>
      <w:r w:rsidR="002F2900">
        <w:rPr>
          <w:rFonts w:cs="Arial"/>
        </w:rPr>
        <w:t xml:space="preserve"> e 31 da Constituição Federal estabelecem que:</w:t>
      </w:r>
    </w:p>
    <w:p w:rsidR="003C6D44" w:rsidRPr="003C6D44" w:rsidRDefault="003C6D44" w:rsidP="003C6D44">
      <w:pPr>
        <w:pStyle w:val="NormalWeb"/>
        <w:shd w:val="clear" w:color="auto" w:fill="FAFAFA"/>
        <w:spacing w:before="0" w:beforeAutospacing="0" w:after="0" w:afterAutospacing="0" w:line="270" w:lineRule="atLeast"/>
        <w:ind w:left="2268"/>
        <w:jc w:val="both"/>
        <w:rPr>
          <w:color w:val="222222"/>
          <w:sz w:val="22"/>
          <w:szCs w:val="22"/>
        </w:rPr>
      </w:pPr>
      <w:r w:rsidRPr="003C6D44">
        <w:rPr>
          <w:rStyle w:val="Forte"/>
          <w:color w:val="222222"/>
          <w:sz w:val="22"/>
          <w:szCs w:val="22"/>
          <w:bdr w:val="none" w:sz="0" w:space="0" w:color="auto" w:frame="1"/>
        </w:rPr>
        <w:t>Art. 74.</w:t>
      </w:r>
      <w:r w:rsidRPr="003C6D44">
        <w:rPr>
          <w:color w:val="222222"/>
          <w:sz w:val="22"/>
          <w:szCs w:val="22"/>
        </w:rPr>
        <w:t xml:space="preserve"> Os Poderes Legislativo, Executivo e Judiciário manterão, de forma integrada, </w:t>
      </w:r>
      <w:r w:rsidRPr="002F2900">
        <w:rPr>
          <w:b/>
          <w:color w:val="222222"/>
          <w:sz w:val="22"/>
          <w:szCs w:val="22"/>
        </w:rPr>
        <w:t>sistema de controle interno com a finalidade de</w:t>
      </w:r>
      <w:r w:rsidRPr="003C6D44">
        <w:rPr>
          <w:color w:val="222222"/>
          <w:sz w:val="22"/>
          <w:szCs w:val="22"/>
        </w:rPr>
        <w:t>:</w:t>
      </w:r>
    </w:p>
    <w:p w:rsidR="003C6D44" w:rsidRPr="003C6D44" w:rsidRDefault="003C6D44" w:rsidP="003C6D44">
      <w:pPr>
        <w:shd w:val="clear" w:color="auto" w:fill="FAFAFA"/>
        <w:spacing w:line="270" w:lineRule="atLeast"/>
        <w:ind w:left="2268"/>
        <w:jc w:val="both"/>
        <w:rPr>
          <w:color w:val="222222"/>
          <w:sz w:val="22"/>
          <w:szCs w:val="22"/>
        </w:rPr>
      </w:pPr>
      <w:r w:rsidRPr="003C6D44">
        <w:rPr>
          <w:rStyle w:val="Forte"/>
          <w:color w:val="222222"/>
          <w:sz w:val="22"/>
          <w:szCs w:val="22"/>
          <w:bdr w:val="none" w:sz="0" w:space="0" w:color="auto" w:frame="1"/>
        </w:rPr>
        <w:t>I </w:t>
      </w:r>
      <w:r w:rsidRPr="003C6D44">
        <w:rPr>
          <w:color w:val="222222"/>
          <w:sz w:val="22"/>
          <w:szCs w:val="22"/>
        </w:rPr>
        <w:t>- avaliar o cumprimento das metas previstas no plano plurianual, a execução dos programas de governo e dos orçamentos da União;</w:t>
      </w:r>
    </w:p>
    <w:p w:rsidR="003C6D44" w:rsidRPr="003C6D44" w:rsidRDefault="003C6D44" w:rsidP="003C6D44">
      <w:pPr>
        <w:shd w:val="clear" w:color="auto" w:fill="FAFAFA"/>
        <w:spacing w:line="270" w:lineRule="atLeast"/>
        <w:ind w:left="2268"/>
        <w:jc w:val="both"/>
        <w:rPr>
          <w:color w:val="222222"/>
          <w:sz w:val="22"/>
          <w:szCs w:val="22"/>
        </w:rPr>
      </w:pPr>
      <w:r w:rsidRPr="003C6D44">
        <w:rPr>
          <w:rStyle w:val="Forte"/>
          <w:color w:val="222222"/>
          <w:sz w:val="22"/>
          <w:szCs w:val="22"/>
          <w:bdr w:val="none" w:sz="0" w:space="0" w:color="auto" w:frame="1"/>
        </w:rPr>
        <w:t>II </w:t>
      </w:r>
      <w:r w:rsidRPr="003C6D44">
        <w:rPr>
          <w:color w:val="222222"/>
          <w:sz w:val="22"/>
          <w:szCs w:val="22"/>
        </w:rPr>
        <w:t>- comprovar a legalidade e avaliar os resultados, quanto à eficácia e eficiência, da gestão orçamentária, financeira e patrimonial nos órgãos e entidades da administração federal, bem como da aplicação de recursos públicos por entidades de direito privado;</w:t>
      </w:r>
    </w:p>
    <w:p w:rsidR="003C6D44" w:rsidRPr="003C6D44" w:rsidRDefault="003C6D44" w:rsidP="003C6D44">
      <w:pPr>
        <w:shd w:val="clear" w:color="auto" w:fill="FAFAFA"/>
        <w:spacing w:line="270" w:lineRule="atLeast"/>
        <w:ind w:left="2268"/>
        <w:jc w:val="both"/>
        <w:rPr>
          <w:color w:val="222222"/>
          <w:sz w:val="22"/>
          <w:szCs w:val="22"/>
        </w:rPr>
      </w:pPr>
      <w:r w:rsidRPr="003C6D44">
        <w:rPr>
          <w:rStyle w:val="Forte"/>
          <w:color w:val="222222"/>
          <w:sz w:val="22"/>
          <w:szCs w:val="22"/>
          <w:bdr w:val="none" w:sz="0" w:space="0" w:color="auto" w:frame="1"/>
        </w:rPr>
        <w:t>III </w:t>
      </w:r>
      <w:r w:rsidRPr="003C6D44">
        <w:rPr>
          <w:color w:val="222222"/>
          <w:sz w:val="22"/>
          <w:szCs w:val="22"/>
        </w:rPr>
        <w:t>- exercer o controle das operações de crédito, avais e garantias, bem como dos direitos e haveres da União;</w:t>
      </w:r>
    </w:p>
    <w:p w:rsidR="003C6D44" w:rsidRPr="003C6D44" w:rsidRDefault="003C6D44" w:rsidP="003C6D44">
      <w:pPr>
        <w:shd w:val="clear" w:color="auto" w:fill="FAFAFA"/>
        <w:spacing w:line="270" w:lineRule="atLeast"/>
        <w:ind w:left="2268"/>
        <w:jc w:val="both"/>
        <w:rPr>
          <w:color w:val="222222"/>
          <w:sz w:val="22"/>
          <w:szCs w:val="22"/>
        </w:rPr>
      </w:pPr>
      <w:r w:rsidRPr="002F2900">
        <w:rPr>
          <w:rStyle w:val="Forte"/>
          <w:b w:val="0"/>
          <w:color w:val="222222"/>
          <w:sz w:val="22"/>
          <w:szCs w:val="22"/>
          <w:bdr w:val="none" w:sz="0" w:space="0" w:color="auto" w:frame="1"/>
        </w:rPr>
        <w:t>IV </w:t>
      </w:r>
      <w:r w:rsidRPr="002F2900">
        <w:rPr>
          <w:b/>
          <w:color w:val="222222"/>
          <w:sz w:val="22"/>
          <w:szCs w:val="22"/>
        </w:rPr>
        <w:t>- apoiar o controle externo no exercício de sua missão institucional</w:t>
      </w:r>
      <w:r w:rsidRPr="003C6D44">
        <w:rPr>
          <w:color w:val="222222"/>
          <w:sz w:val="22"/>
          <w:szCs w:val="22"/>
        </w:rPr>
        <w:t>.</w:t>
      </w:r>
    </w:p>
    <w:p w:rsidR="00A86B35" w:rsidRDefault="00A86B35" w:rsidP="003C6D44">
      <w:pPr>
        <w:shd w:val="clear" w:color="auto" w:fill="FAFAFA"/>
        <w:spacing w:line="270" w:lineRule="atLeast"/>
        <w:ind w:left="2268"/>
        <w:jc w:val="both"/>
        <w:rPr>
          <w:rStyle w:val="Forte"/>
          <w:color w:val="222222"/>
          <w:sz w:val="22"/>
          <w:szCs w:val="22"/>
          <w:bdr w:val="none" w:sz="0" w:space="0" w:color="auto" w:frame="1"/>
        </w:rPr>
      </w:pPr>
    </w:p>
    <w:p w:rsidR="00A86B35" w:rsidRDefault="00A86B35" w:rsidP="003C6D44">
      <w:pPr>
        <w:shd w:val="clear" w:color="auto" w:fill="FAFAFA"/>
        <w:spacing w:line="270" w:lineRule="atLeast"/>
        <w:ind w:left="2268"/>
        <w:jc w:val="both"/>
        <w:rPr>
          <w:rStyle w:val="Forte"/>
          <w:color w:val="222222"/>
          <w:sz w:val="22"/>
          <w:szCs w:val="22"/>
          <w:bdr w:val="none" w:sz="0" w:space="0" w:color="auto" w:frame="1"/>
        </w:rPr>
      </w:pPr>
    </w:p>
    <w:p w:rsidR="00A86B35" w:rsidRDefault="00A86B35" w:rsidP="003C6D44">
      <w:pPr>
        <w:shd w:val="clear" w:color="auto" w:fill="FAFAFA"/>
        <w:spacing w:line="270" w:lineRule="atLeast"/>
        <w:ind w:left="2268"/>
        <w:jc w:val="both"/>
        <w:rPr>
          <w:rStyle w:val="Forte"/>
          <w:color w:val="222222"/>
          <w:sz w:val="22"/>
          <w:szCs w:val="22"/>
          <w:bdr w:val="none" w:sz="0" w:space="0" w:color="auto" w:frame="1"/>
        </w:rPr>
      </w:pPr>
    </w:p>
    <w:p w:rsidR="00A86B35" w:rsidRDefault="00A86B35" w:rsidP="003C6D44">
      <w:pPr>
        <w:shd w:val="clear" w:color="auto" w:fill="FAFAFA"/>
        <w:spacing w:line="270" w:lineRule="atLeast"/>
        <w:ind w:left="2268"/>
        <w:jc w:val="both"/>
        <w:rPr>
          <w:rStyle w:val="Forte"/>
          <w:color w:val="222222"/>
          <w:sz w:val="22"/>
          <w:szCs w:val="22"/>
          <w:bdr w:val="none" w:sz="0" w:space="0" w:color="auto" w:frame="1"/>
        </w:rPr>
      </w:pPr>
    </w:p>
    <w:p w:rsidR="00A86B35" w:rsidRDefault="00A86B35" w:rsidP="003C6D44">
      <w:pPr>
        <w:shd w:val="clear" w:color="auto" w:fill="FAFAFA"/>
        <w:spacing w:line="270" w:lineRule="atLeast"/>
        <w:ind w:left="2268"/>
        <w:jc w:val="both"/>
        <w:rPr>
          <w:rStyle w:val="Forte"/>
          <w:color w:val="222222"/>
          <w:sz w:val="22"/>
          <w:szCs w:val="22"/>
          <w:bdr w:val="none" w:sz="0" w:space="0" w:color="auto" w:frame="1"/>
        </w:rPr>
      </w:pPr>
    </w:p>
    <w:p w:rsidR="00A86B35" w:rsidRDefault="00A86B35" w:rsidP="003C6D44">
      <w:pPr>
        <w:shd w:val="clear" w:color="auto" w:fill="FAFAFA"/>
        <w:spacing w:line="270" w:lineRule="atLeast"/>
        <w:ind w:left="2268"/>
        <w:jc w:val="both"/>
        <w:rPr>
          <w:rStyle w:val="Forte"/>
          <w:color w:val="222222"/>
          <w:sz w:val="22"/>
          <w:szCs w:val="22"/>
          <w:bdr w:val="none" w:sz="0" w:space="0" w:color="auto" w:frame="1"/>
        </w:rPr>
      </w:pPr>
    </w:p>
    <w:p w:rsidR="003C6D44" w:rsidRPr="003C6D44" w:rsidRDefault="003C6D44" w:rsidP="003C6D44">
      <w:pPr>
        <w:shd w:val="clear" w:color="auto" w:fill="FAFAFA"/>
        <w:spacing w:line="270" w:lineRule="atLeast"/>
        <w:ind w:left="2268"/>
        <w:jc w:val="both"/>
        <w:rPr>
          <w:color w:val="222222"/>
          <w:sz w:val="22"/>
          <w:szCs w:val="22"/>
        </w:rPr>
      </w:pPr>
      <w:r w:rsidRPr="003C6D44">
        <w:rPr>
          <w:rStyle w:val="Forte"/>
          <w:color w:val="222222"/>
          <w:sz w:val="22"/>
          <w:szCs w:val="22"/>
          <w:bdr w:val="none" w:sz="0" w:space="0" w:color="auto" w:frame="1"/>
        </w:rPr>
        <w:t>§ 1º</w:t>
      </w:r>
      <w:r w:rsidRPr="003C6D44">
        <w:rPr>
          <w:color w:val="222222"/>
          <w:sz w:val="22"/>
          <w:szCs w:val="22"/>
        </w:rPr>
        <w:t xml:space="preserve"> Os responsáveis pelo controle interno, ao tomarem conhecimento de qualquer irregularidade ou ilegalidade, dela darão ciência ao Tribunal de Contas da União, </w:t>
      </w:r>
      <w:proofErr w:type="gramStart"/>
      <w:r w:rsidRPr="003C6D44">
        <w:rPr>
          <w:color w:val="222222"/>
          <w:sz w:val="22"/>
          <w:szCs w:val="22"/>
        </w:rPr>
        <w:t>sob pena</w:t>
      </w:r>
      <w:proofErr w:type="gramEnd"/>
      <w:r w:rsidRPr="003C6D44">
        <w:rPr>
          <w:color w:val="222222"/>
          <w:sz w:val="22"/>
          <w:szCs w:val="22"/>
        </w:rPr>
        <w:t xml:space="preserve"> de responsabilidade solidária.</w:t>
      </w:r>
    </w:p>
    <w:p w:rsidR="003C6D44" w:rsidRDefault="003C6D44" w:rsidP="003C6D44">
      <w:pPr>
        <w:shd w:val="clear" w:color="auto" w:fill="FAFAFA"/>
        <w:spacing w:line="270" w:lineRule="atLeast"/>
        <w:ind w:left="2268"/>
        <w:rPr>
          <w:color w:val="222222"/>
          <w:sz w:val="22"/>
          <w:szCs w:val="22"/>
        </w:rPr>
      </w:pPr>
      <w:r w:rsidRPr="003C6D44">
        <w:rPr>
          <w:rStyle w:val="Forte"/>
          <w:color w:val="222222"/>
          <w:sz w:val="22"/>
          <w:szCs w:val="22"/>
          <w:bdr w:val="none" w:sz="0" w:space="0" w:color="auto" w:frame="1"/>
        </w:rPr>
        <w:t>§ 2º</w:t>
      </w:r>
      <w:r w:rsidRPr="003C6D44">
        <w:rPr>
          <w:color w:val="222222"/>
          <w:sz w:val="22"/>
          <w:szCs w:val="22"/>
        </w:rPr>
        <w:t> Qualquer cidadão, partido político, associação ou sindicato é parte legítima para, na forma da lei, denunciar irregularidades ou ilegalidades perante o Tribunal de Contas da União.</w:t>
      </w:r>
    </w:p>
    <w:p w:rsidR="002F2900" w:rsidRDefault="002F2900" w:rsidP="003C6D44">
      <w:pPr>
        <w:shd w:val="clear" w:color="auto" w:fill="FAFAFA"/>
        <w:spacing w:line="270" w:lineRule="atLeast"/>
        <w:ind w:left="2268"/>
        <w:rPr>
          <w:color w:val="222222"/>
          <w:sz w:val="22"/>
          <w:szCs w:val="22"/>
        </w:rPr>
      </w:pPr>
    </w:p>
    <w:p w:rsidR="002F2900" w:rsidRDefault="002F2900" w:rsidP="003C6D44">
      <w:pPr>
        <w:shd w:val="clear" w:color="auto" w:fill="FAFAFA"/>
        <w:spacing w:line="270" w:lineRule="atLeast"/>
        <w:ind w:left="2268"/>
        <w:rPr>
          <w:color w:val="222222"/>
          <w:sz w:val="22"/>
          <w:szCs w:val="22"/>
        </w:rPr>
      </w:pPr>
    </w:p>
    <w:p w:rsidR="002F2900" w:rsidRPr="002F2900" w:rsidRDefault="002F2900" w:rsidP="002F2900">
      <w:pPr>
        <w:shd w:val="clear" w:color="auto" w:fill="FAFAFA"/>
        <w:spacing w:line="270" w:lineRule="atLeast"/>
        <w:ind w:left="2268"/>
        <w:jc w:val="both"/>
        <w:rPr>
          <w:color w:val="222222"/>
          <w:sz w:val="22"/>
          <w:szCs w:val="22"/>
        </w:rPr>
      </w:pPr>
      <w:r w:rsidRPr="002F2900">
        <w:rPr>
          <w:b/>
          <w:bCs/>
          <w:color w:val="000000"/>
          <w:sz w:val="22"/>
          <w:szCs w:val="22"/>
          <w:shd w:val="clear" w:color="auto" w:fill="F9F9F9"/>
        </w:rPr>
        <w:t>Art. 31.</w:t>
      </w:r>
      <w:r w:rsidRPr="002F2900">
        <w:rPr>
          <w:color w:val="000000"/>
          <w:sz w:val="22"/>
          <w:szCs w:val="22"/>
          <w:shd w:val="clear" w:color="auto" w:fill="F9F9F9"/>
        </w:rPr>
        <w:t> A fiscalização do Município será exercida pelo Poder Legislativo municipal, mediante controle externo, e pelos sistemas de controle interno do Poder Executivo municipal, na forma da lei.</w:t>
      </w:r>
    </w:p>
    <w:p w:rsidR="002F2900" w:rsidRDefault="002F2900" w:rsidP="003C6D44">
      <w:pPr>
        <w:shd w:val="clear" w:color="auto" w:fill="FAFAFA"/>
        <w:spacing w:line="270" w:lineRule="atLeast"/>
        <w:ind w:left="2268"/>
        <w:rPr>
          <w:color w:val="222222"/>
          <w:sz w:val="22"/>
          <w:szCs w:val="22"/>
        </w:rPr>
      </w:pPr>
    </w:p>
    <w:p w:rsidR="002F2900" w:rsidRDefault="002F2900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2F2900">
        <w:rPr>
          <w:color w:val="000000"/>
          <w:shd w:val="clear" w:color="auto" w:fill="FFFFFF"/>
        </w:rPr>
        <w:t>O Pleno do Tribunal de Contas do Estado (TCE-RS) aprovou, em 07 de março,</w:t>
      </w:r>
      <w:r>
        <w:rPr>
          <w:color w:val="000000"/>
          <w:shd w:val="clear" w:color="auto" w:fill="FFFFFF"/>
        </w:rPr>
        <w:t xml:space="preserve"> de 2012,</w:t>
      </w:r>
      <w:r w:rsidRPr="002F2900">
        <w:rPr>
          <w:color w:val="000000"/>
          <w:shd w:val="clear" w:color="auto" w:fill="FFFFFF"/>
        </w:rPr>
        <w:t xml:space="preserve"> projeto de </w:t>
      </w:r>
      <w:r>
        <w:t>RESOLUÇÃO N. 936/2012,</w:t>
      </w:r>
      <w:r w:rsidRPr="002F2900">
        <w:rPr>
          <w:color w:val="000000"/>
          <w:shd w:val="clear" w:color="auto" w:fill="FFFFFF"/>
        </w:rPr>
        <w:t xml:space="preserve"> que dispõe sobre as diretrizes que devem orientar os sistemas de controle interno das administrações. O regramento também tem por objetivo auxiliar os municípios na organização das unidades locais de controle, contribuindo, assim, para o aperfeiçoamento da fiscalização realizada pelos mesmos.</w:t>
      </w:r>
    </w:p>
    <w:p w:rsidR="009F480C" w:rsidRDefault="009F480C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Dessa forma, a lei atual encontra-se desatualizada em alguns pontos, bem como, omissa em outros, pois, promulgada no ano de 2002, sendo que a Resolução 936 é de 2012.</w:t>
      </w:r>
    </w:p>
    <w:p w:rsidR="009F480C" w:rsidRDefault="009F480C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Conforme Art. 3º da Resolução 936/2012, a instituição do sistema de controle interno dar-se-á por meio de lei municipal de iniciativa do poder executivo, a qual deverá contemplar as atribuições previstas no art. 74, incisos I a IV, da Constituição entre outros aspectos.</w:t>
      </w:r>
    </w:p>
    <w:p w:rsidR="005330BA" w:rsidRDefault="005330BA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Quanto à previsão no art. 8º do referido projeto, prevê-se que os servidores designados a integrar a UCCI, farão jus a um adicional mensal de 40% do valor do vencimento básico do padrão e da Classe do Cargo de Agente de Controle interno, destaca-se que atualmente o poder executivo é autorizado por meio da Lei 593 de 14 de junho de 2005 a conceder função gratificada do tipo FG </w:t>
      </w:r>
      <w:proofErr w:type="gramStart"/>
      <w:r>
        <w:rPr>
          <w:color w:val="000000"/>
          <w:shd w:val="clear" w:color="auto" w:fill="FFFFFF"/>
        </w:rPr>
        <w:t>2</w:t>
      </w:r>
      <w:proofErr w:type="gramEnd"/>
      <w:r>
        <w:rPr>
          <w:color w:val="000000"/>
          <w:shd w:val="clear" w:color="auto" w:fill="FFFFFF"/>
        </w:rPr>
        <w:t xml:space="preserve"> para os membros do controle interno.</w:t>
      </w:r>
    </w:p>
    <w:p w:rsidR="005330BA" w:rsidRDefault="005330BA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Com a aprovação do adicional previsto na Lei especifica no art. 8º automaticamente exclui-se </w:t>
      </w:r>
      <w:r w:rsidR="005770CD">
        <w:rPr>
          <w:color w:val="000000"/>
          <w:shd w:val="clear" w:color="auto" w:fill="FFFFFF"/>
        </w:rPr>
        <w:t>a função gratificada prevista anteriormente</w:t>
      </w:r>
      <w:r w:rsidR="00966029">
        <w:rPr>
          <w:color w:val="000000"/>
          <w:shd w:val="clear" w:color="auto" w:fill="FFFFFF"/>
        </w:rPr>
        <w:t>, ademais, a função gratificada corresponde ao exercício de cargo em comissão atribuído a servidor efetivo, sendo condizente com exercício de cargo de chefia, direção e assessoramento.</w:t>
      </w:r>
    </w:p>
    <w:p w:rsidR="00A86B35" w:rsidRDefault="00A86B35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</w:p>
    <w:p w:rsidR="00A86B35" w:rsidRDefault="00A86B35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</w:p>
    <w:p w:rsidR="00A86B35" w:rsidRDefault="00A86B35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</w:p>
    <w:p w:rsidR="00A86B35" w:rsidRDefault="00A86B35" w:rsidP="002F2900">
      <w:pPr>
        <w:shd w:val="clear" w:color="auto" w:fill="FAFAFA"/>
        <w:spacing w:line="360" w:lineRule="auto"/>
        <w:ind w:firstLine="708"/>
        <w:jc w:val="both"/>
        <w:rPr>
          <w:color w:val="000000"/>
          <w:shd w:val="clear" w:color="auto" w:fill="FFFFFF"/>
        </w:rPr>
      </w:pPr>
    </w:p>
    <w:p w:rsidR="00966029" w:rsidRPr="002F2900" w:rsidRDefault="00966029" w:rsidP="002F2900">
      <w:pPr>
        <w:shd w:val="clear" w:color="auto" w:fill="FAFAFA"/>
        <w:spacing w:line="360" w:lineRule="auto"/>
        <w:ind w:firstLine="708"/>
        <w:jc w:val="both"/>
        <w:rPr>
          <w:color w:val="222222"/>
        </w:rPr>
      </w:pPr>
      <w:r>
        <w:rPr>
          <w:color w:val="000000"/>
          <w:shd w:val="clear" w:color="auto" w:fill="FFFFFF"/>
        </w:rPr>
        <w:t xml:space="preserve">Portanto, diante do exposto, conclui-se que o projeto esta de acordo com as disposições que exige o Tribunal de contas, de modo que realiza de forma efetiva uma atualização da legislação municipal exigida e apontada pelo Tribunal de Contas, a </w:t>
      </w:r>
      <w:proofErr w:type="gramStart"/>
      <w:r>
        <w:rPr>
          <w:color w:val="000000"/>
          <w:shd w:val="clear" w:color="auto" w:fill="FFFFFF"/>
        </w:rPr>
        <w:t>afim de</w:t>
      </w:r>
      <w:proofErr w:type="gramEnd"/>
      <w:r>
        <w:rPr>
          <w:color w:val="000000"/>
          <w:shd w:val="clear" w:color="auto" w:fill="FFFFFF"/>
        </w:rPr>
        <w:t xml:space="preserve"> garantir a eficiência e eficácia do órgão de Controle interno do município.</w:t>
      </w:r>
    </w:p>
    <w:p w:rsidR="00AD4D3B" w:rsidRPr="001B3C0B" w:rsidRDefault="00AD4D3B" w:rsidP="00966029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Em face ao exposto, o projeto é LEGAL e CONSTITUCIONAL, nos termos d</w:t>
      </w:r>
      <w:r w:rsidR="005770CD">
        <w:rPr>
          <w:color w:val="000000" w:themeColor="text1"/>
        </w:rPr>
        <w:t xml:space="preserve">os </w:t>
      </w:r>
      <w:proofErr w:type="spellStart"/>
      <w:r w:rsidR="005770CD">
        <w:rPr>
          <w:color w:val="000000" w:themeColor="text1"/>
        </w:rPr>
        <w:t>arts</w:t>
      </w:r>
      <w:proofErr w:type="spellEnd"/>
      <w:r w:rsidR="005770CD">
        <w:rPr>
          <w:color w:val="000000" w:themeColor="text1"/>
        </w:rPr>
        <w:t>. 74 e 31 da Constituição Federal, bem como, resolução nº 936/2012 do Tribunal de Contas do Estado do Rio Grande do Sul. R</w:t>
      </w:r>
      <w:r w:rsidRPr="001B3C0B">
        <w:rPr>
          <w:color w:val="000000" w:themeColor="text1"/>
        </w:rPr>
        <w:t>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5770CD">
        <w:rPr>
          <w:color w:val="000000" w:themeColor="text1"/>
        </w:rPr>
        <w:t>12 de março de 2019</w:t>
      </w:r>
      <w:r w:rsidR="00A86B35">
        <w:rPr>
          <w:color w:val="000000" w:themeColor="text1"/>
        </w:rPr>
        <w:t>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BD" w:rsidRDefault="00F921BD" w:rsidP="00BA7B1F">
      <w:r>
        <w:separator/>
      </w:r>
    </w:p>
  </w:endnote>
  <w:endnote w:type="continuationSeparator" w:id="0">
    <w:p w:rsidR="00F921BD" w:rsidRDefault="00F921BD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BD" w:rsidRDefault="00F921BD" w:rsidP="00BA7B1F">
      <w:r>
        <w:separator/>
      </w:r>
    </w:p>
  </w:footnote>
  <w:footnote w:type="continuationSeparator" w:id="0">
    <w:p w:rsidR="00F921BD" w:rsidRDefault="00F921BD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B3C0B"/>
    <w:rsid w:val="001C2EBC"/>
    <w:rsid w:val="001E2BB5"/>
    <w:rsid w:val="0020254F"/>
    <w:rsid w:val="00247E41"/>
    <w:rsid w:val="00272DBA"/>
    <w:rsid w:val="0027463D"/>
    <w:rsid w:val="00277BEB"/>
    <w:rsid w:val="002F2900"/>
    <w:rsid w:val="003023F3"/>
    <w:rsid w:val="00340CD6"/>
    <w:rsid w:val="003728AA"/>
    <w:rsid w:val="003C3DD5"/>
    <w:rsid w:val="003C6D44"/>
    <w:rsid w:val="00411F3E"/>
    <w:rsid w:val="0043704E"/>
    <w:rsid w:val="004519AD"/>
    <w:rsid w:val="004613EE"/>
    <w:rsid w:val="00467E6F"/>
    <w:rsid w:val="004A0680"/>
    <w:rsid w:val="004C0F5F"/>
    <w:rsid w:val="004C5DEE"/>
    <w:rsid w:val="004D2CD3"/>
    <w:rsid w:val="004E6B83"/>
    <w:rsid w:val="005330BA"/>
    <w:rsid w:val="0053541F"/>
    <w:rsid w:val="00572EA8"/>
    <w:rsid w:val="00574CBB"/>
    <w:rsid w:val="005770CD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66029"/>
    <w:rsid w:val="00984DA7"/>
    <w:rsid w:val="009A3D91"/>
    <w:rsid w:val="009B4136"/>
    <w:rsid w:val="009F480C"/>
    <w:rsid w:val="00A411FE"/>
    <w:rsid w:val="00A477CD"/>
    <w:rsid w:val="00A86B35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72FBC"/>
    <w:rsid w:val="00C92306"/>
    <w:rsid w:val="00C93D2F"/>
    <w:rsid w:val="00CD020A"/>
    <w:rsid w:val="00D14553"/>
    <w:rsid w:val="00D72142"/>
    <w:rsid w:val="00DA4004"/>
    <w:rsid w:val="00DB668E"/>
    <w:rsid w:val="00DD22D8"/>
    <w:rsid w:val="00DE512A"/>
    <w:rsid w:val="00E14E46"/>
    <w:rsid w:val="00E42909"/>
    <w:rsid w:val="00E717D2"/>
    <w:rsid w:val="00E87DCD"/>
    <w:rsid w:val="00ED72B4"/>
    <w:rsid w:val="00F236FE"/>
    <w:rsid w:val="00F44A07"/>
    <w:rsid w:val="00F5545A"/>
    <w:rsid w:val="00F826D6"/>
    <w:rsid w:val="00F921BD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3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2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5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3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31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95D4C-9073-482E-A80F-5C81EAC6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2019-03-13T20:24:00Z</dcterms:created>
  <dcterms:modified xsi:type="dcterms:W3CDTF">2019-03-13T20:24:00Z</dcterms:modified>
</cp:coreProperties>
</file>