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0D44C9" w:rsidRDefault="001058CA" w:rsidP="004B61C3">
      <w:pPr>
        <w:jc w:val="center"/>
        <w:rPr>
          <w:b/>
        </w:rPr>
      </w:pPr>
      <w:r w:rsidRPr="000D44C9">
        <w:rPr>
          <w:b/>
        </w:rPr>
        <w:t>AO</w:t>
      </w:r>
      <w:r w:rsidR="00153BDF" w:rsidRPr="000D44C9">
        <w:rPr>
          <w:b/>
        </w:rPr>
        <w:t xml:space="preserve"> PROJETO </w:t>
      </w:r>
      <w:r w:rsidR="004B61C3" w:rsidRPr="000D44C9">
        <w:rPr>
          <w:b/>
        </w:rPr>
        <w:t xml:space="preserve">DE DECRETO LEGISLATIVO Nº </w:t>
      </w:r>
      <w:r w:rsidR="000D44C9" w:rsidRPr="000D44C9">
        <w:rPr>
          <w:b/>
          <w:color w:val="000000"/>
          <w:sz w:val="27"/>
          <w:szCs w:val="27"/>
        </w:rPr>
        <w:t>04 DE 07 DE DEZEMBRO DE 2020</w:t>
      </w:r>
    </w:p>
    <w:p w:rsidR="00F95BF2" w:rsidRDefault="00F95BF2" w:rsidP="004B61C3">
      <w:pPr>
        <w:jc w:val="center"/>
      </w:pPr>
    </w:p>
    <w:p w:rsidR="001058CA" w:rsidRDefault="000D44C9" w:rsidP="000D44C9">
      <w:pPr>
        <w:ind w:left="2268"/>
        <w:jc w:val="both"/>
      </w:pPr>
      <w:r w:rsidRPr="000D44C9">
        <w:rPr>
          <w:b/>
          <w:color w:val="000000"/>
          <w:sz w:val="27"/>
          <w:szCs w:val="27"/>
        </w:rPr>
        <w:t>APROVA AS CONTAS DE GOVERNO DO SENHOR MARCOS ANDRÉ PIAIA, PREFEITO MUNICIPAL DE BARRA FUNDA, RELATIVO AO EXERCÍCIO DE 2018</w:t>
      </w:r>
      <w:r>
        <w:rPr>
          <w:color w:val="000000"/>
          <w:sz w:val="27"/>
          <w:szCs w:val="27"/>
        </w:rPr>
        <w:t>.</w:t>
      </w:r>
      <w:r w:rsidR="003728AA">
        <w:t xml:space="preserve"> </w:t>
      </w:r>
    </w:p>
    <w:p w:rsidR="006A48FD" w:rsidRDefault="00CD7281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O presente projeto visa aprovar </w:t>
      </w:r>
      <w:r w:rsidR="009F2C1A">
        <w:t xml:space="preserve">as contas de Governo </w:t>
      </w:r>
      <w:r w:rsidR="004B61C3" w:rsidRPr="00560E8F">
        <w:t xml:space="preserve">do </w:t>
      </w:r>
      <w:r w:rsidR="004B61C3">
        <w:t xml:space="preserve">Senhor </w:t>
      </w:r>
      <w:r w:rsidR="00F95BF2">
        <w:t>Marcos Andre Piaia</w:t>
      </w:r>
      <w:r w:rsidR="004B61C3">
        <w:t xml:space="preserve">, Prefeito </w:t>
      </w:r>
      <w:r w:rsidR="004B61C3" w:rsidRPr="00560E8F">
        <w:t>Municipal de Barra Funda/ RS</w:t>
      </w:r>
      <w:r w:rsidR="009E0FA8">
        <w:t>, referente ao exercício de 201</w:t>
      </w:r>
      <w:r w:rsidR="000D44C9">
        <w:t>8</w:t>
      </w:r>
      <w:r w:rsidR="004B61C3" w:rsidRPr="00560E8F">
        <w:t xml:space="preserve">, que tem a emissão de parecer favorável nº </w:t>
      </w:r>
      <w:r w:rsidR="000D44C9">
        <w:rPr>
          <w:color w:val="000000"/>
          <w:sz w:val="27"/>
          <w:szCs w:val="27"/>
        </w:rPr>
        <w:t>20.66</w:t>
      </w:r>
      <w:r w:rsidR="007F2FEA">
        <w:rPr>
          <w:color w:val="000000"/>
          <w:sz w:val="27"/>
          <w:szCs w:val="27"/>
        </w:rPr>
        <w:t xml:space="preserve"> </w:t>
      </w:r>
      <w:r w:rsidR="004B61C3" w:rsidRPr="00560E8F">
        <w:t>do Tribunal de Contas do estado do Rio Grande do Sul, referente ao Processo N</w:t>
      </w:r>
      <w:r w:rsidR="000D44C9">
        <w:rPr>
          <w:color w:val="000000"/>
          <w:sz w:val="27"/>
          <w:szCs w:val="27"/>
        </w:rPr>
        <w:t xml:space="preserve"> 001789-02.00/18-6.</w:t>
      </w:r>
    </w:p>
    <w:p w:rsidR="004B61C3" w:rsidRDefault="004B61C3" w:rsidP="004B61C3">
      <w:pPr>
        <w:spacing w:before="100" w:beforeAutospacing="1" w:after="100" w:afterAutospacing="1" w:line="360" w:lineRule="auto"/>
        <w:ind w:firstLine="708"/>
        <w:jc w:val="both"/>
      </w:pPr>
      <w:r>
        <w:t xml:space="preserve">Submetem-se às Contas de Governo os administradores do Poder Executivo Municipal, conforme previsto no art. Art. 71 da Constituição Federal: </w:t>
      </w:r>
    </w:p>
    <w:p w:rsidR="00852F08" w:rsidRDefault="00A871A8" w:rsidP="00A871A8">
      <w:pPr>
        <w:ind w:left="2268"/>
        <w:jc w:val="both"/>
        <w:rPr>
          <w:sz w:val="22"/>
          <w:szCs w:val="22"/>
        </w:rPr>
      </w:pPr>
      <w:r w:rsidRPr="00852F08">
        <w:rPr>
          <w:b/>
          <w:sz w:val="22"/>
          <w:szCs w:val="22"/>
        </w:rPr>
        <w:t>Art. 71 CF.</w:t>
      </w:r>
      <w:r w:rsidRPr="00A871A8">
        <w:rPr>
          <w:sz w:val="22"/>
          <w:szCs w:val="22"/>
        </w:rPr>
        <w:t xml:space="preserve"> O controle externo, a cargo do Congresso Nacional, será exercido com o auxílio do Tribunal de Contas da União, ao qual compete: 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  <w:r w:rsidRPr="00A871A8">
        <w:rPr>
          <w:sz w:val="22"/>
          <w:szCs w:val="22"/>
        </w:rPr>
        <w:t>I – apreciar as contas prestadas anualmente pelo Presidente da República, mediante parecer prévio que deverá ser elaborado em sessenta dias a contar de seu recebimento.</w:t>
      </w:r>
    </w:p>
    <w:p w:rsidR="00A871A8" w:rsidRPr="00A871A8" w:rsidRDefault="00A871A8" w:rsidP="00A871A8">
      <w:pPr>
        <w:ind w:left="2268"/>
        <w:jc w:val="both"/>
        <w:rPr>
          <w:sz w:val="22"/>
          <w:szCs w:val="22"/>
        </w:rPr>
      </w:pPr>
    </w:p>
    <w:p w:rsidR="00A871A8" w:rsidRDefault="00A871A8" w:rsidP="00A871A8">
      <w:pPr>
        <w:ind w:left="2268"/>
        <w:jc w:val="both"/>
      </w:pPr>
      <w:r w:rsidRPr="00852F08">
        <w:rPr>
          <w:b/>
          <w:sz w:val="22"/>
          <w:szCs w:val="22"/>
        </w:rPr>
        <w:t>Art. 71</w:t>
      </w:r>
      <w:r w:rsidRPr="00A871A8">
        <w:rPr>
          <w:sz w:val="22"/>
          <w:szCs w:val="22"/>
        </w:rPr>
        <w:t xml:space="preserve"> da Constituição Estadual: O controle externo, a cargo da Assembleia Legislativa, será exercido com auxílio do Tribunal de Contas, </w:t>
      </w:r>
      <w:r w:rsidR="00852F08">
        <w:rPr>
          <w:sz w:val="22"/>
          <w:szCs w:val="22"/>
        </w:rPr>
        <w:t xml:space="preserve">ao </w:t>
      </w:r>
      <w:r w:rsidRPr="00A871A8">
        <w:rPr>
          <w:sz w:val="22"/>
          <w:szCs w:val="22"/>
        </w:rPr>
        <w:t>qual compete, além das atribuições previstas nos arts. 71 e 96 da Constituição Federal, adaptados ao Estado, emitir parecer prévio sobre as contas que os Prefeitos Municipais devem prestar anualmente</w:t>
      </w:r>
      <w:r>
        <w:t>.</w:t>
      </w:r>
    </w:p>
    <w:p w:rsidR="00A871A8" w:rsidRDefault="00A871A8" w:rsidP="00A871A8">
      <w:pPr>
        <w:ind w:left="2268"/>
        <w:jc w:val="both"/>
      </w:pPr>
    </w:p>
    <w:p w:rsidR="00A871A8" w:rsidRDefault="00A871A8" w:rsidP="00852F08">
      <w:pPr>
        <w:jc w:val="both"/>
      </w:pPr>
    </w:p>
    <w:p w:rsidR="000974E8" w:rsidRDefault="00A871A8" w:rsidP="0071613C">
      <w:pPr>
        <w:spacing w:before="100" w:beforeAutospacing="1" w:after="100" w:afterAutospacing="1" w:line="360" w:lineRule="auto"/>
        <w:ind w:firstLine="708"/>
        <w:jc w:val="both"/>
      </w:pPr>
      <w:r>
        <w:t xml:space="preserve">O Parecer Prévio conclusivo sobre as contas de governo que os Prefeitos Municipais devem prestar anualmente é emitido a partir da avaliação do desempenho da administração, elaborada com base no exame: – de elementos constantes no balanço anual e nos demais dados e documentos exigidos pelo TCE-RS; – da gestão fiscal; – do </w:t>
      </w:r>
    </w:p>
    <w:p w:rsidR="0071613C" w:rsidRDefault="0071613C" w:rsidP="0071613C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0974E8">
      <w:pPr>
        <w:spacing w:before="100" w:beforeAutospacing="1" w:after="100" w:afterAutospacing="1" w:line="360" w:lineRule="auto"/>
        <w:jc w:val="both"/>
      </w:pPr>
    </w:p>
    <w:p w:rsidR="00A871A8" w:rsidRDefault="00A871A8" w:rsidP="00073669">
      <w:pPr>
        <w:spacing w:before="100" w:beforeAutospacing="1" w:after="100" w:afterAutospacing="1" w:line="360" w:lineRule="auto"/>
        <w:jc w:val="both"/>
      </w:pPr>
      <w:r>
        <w:t>cumprimento da aplicação dos recursos vinculados constitucionalmente à manutenção e desenvolvimento do ensino (MDE) e às ações e serviços públicos de saúde (ASPS); – da aplicação de recursos em educação infantil; – no atendimento das normas voltadas à transparência das contas públicas, entre outros. No caso de constatação de impropriedades ou falhas, o TCE-RS intimará o responsável (Prefeito Municipal) para prestar esclarecimentos nos prazos previstos no RITCE (ver tópico “Da intimação e Contagem de Prazos”).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 (RITCE, art.12 inc. VI) As contas de governo do administrador do Poder Executivo Municipal serão apreciadas pela Primeira ou Segunda Câmaras do Tribunal de Contas. 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 w:rsidRPr="00A871A8">
        <w:rPr>
          <w:b/>
        </w:rPr>
        <w:t xml:space="preserve">Emitido o parecer prévio, e transitada em julgada </w:t>
      </w:r>
      <w:r w:rsidR="009E0FA8" w:rsidRPr="00A871A8">
        <w:rPr>
          <w:b/>
        </w:rPr>
        <w:t>à</w:t>
      </w:r>
      <w:r w:rsidRPr="00A871A8">
        <w:rPr>
          <w:b/>
        </w:rPr>
        <w:t xml:space="preserve"> decisão, esta Corte: a) remeterá as contas de governo dos Prefeitos Municipais para a apreciação do Legislativo Municipal, que poderá manter o citado parecer prévio ou, por decisão de dois terços dos seus membros (CF, art. 31, § 2º),</w:t>
      </w:r>
      <w:r>
        <w:t xml:space="preserve"> fazer com que o mesmo deixe de prevalecer; b) no caso de parecer desfavorável, comunicará o fato à Procuradoria-Geral de Justiça e ao Ministério Público Eleitoral (RITCE, art. 87).</w:t>
      </w:r>
    </w:p>
    <w:p w:rsidR="00A871A8" w:rsidRDefault="00A871A8" w:rsidP="004519AD">
      <w:pPr>
        <w:spacing w:before="100" w:beforeAutospacing="1" w:after="100" w:afterAutospacing="1" w:line="360" w:lineRule="auto"/>
        <w:ind w:firstLine="708"/>
        <w:jc w:val="both"/>
      </w:pPr>
      <w:r>
        <w:t xml:space="preserve">O </w:t>
      </w:r>
      <w:r w:rsidRPr="00560E8F">
        <w:t xml:space="preserve">Processo </w:t>
      </w:r>
      <w:r w:rsidR="000D44C9">
        <w:rPr>
          <w:color w:val="000000"/>
          <w:sz w:val="27"/>
          <w:szCs w:val="27"/>
        </w:rPr>
        <w:t>N° 001789-02.00/18-6.</w:t>
      </w:r>
      <w:r w:rsidR="009E0FA8">
        <w:t>, r</w:t>
      </w:r>
      <w:r>
        <w:t xml:space="preserve">elativo </w:t>
      </w:r>
      <w:r w:rsidR="009E0FA8">
        <w:t>às</w:t>
      </w:r>
      <w:r>
        <w:t xml:space="preserve"> contas de Governo do Sr. </w:t>
      </w:r>
      <w:r w:rsidR="00F95BF2">
        <w:t>Marcos Andre Piaia</w:t>
      </w:r>
      <w:r>
        <w:t xml:space="preserve">, Prefeito Municipal de </w:t>
      </w:r>
      <w:r w:rsidR="00F95BF2">
        <w:t>Barra Funda no Exercício de 201</w:t>
      </w:r>
      <w:r w:rsidR="007F2FEA">
        <w:t>8</w:t>
      </w:r>
      <w:r>
        <w:t xml:space="preserve">, teve decisão de parecer favorável </w:t>
      </w:r>
      <w:r w:rsidR="000974E8">
        <w:t xml:space="preserve">pelo Ministério Público de Contas Parecer MPC </w:t>
      </w:r>
      <w:r w:rsidR="007F2FEA">
        <w:t>16698/2019</w:t>
      </w:r>
      <w:r w:rsidR="000974E8">
        <w:t xml:space="preserve">, e </w:t>
      </w:r>
      <w:r w:rsidR="007F2FEA">
        <w:t xml:space="preserve">pela Segunda </w:t>
      </w:r>
      <w:r>
        <w:t xml:space="preserve"> </w:t>
      </w:r>
      <w:r w:rsidR="000974E8">
        <w:t>Câmara</w:t>
      </w:r>
      <w:r w:rsidR="00DA0407">
        <w:t xml:space="preserve"> do Tribunal de Contas</w:t>
      </w:r>
      <w:r w:rsidR="007F2FEA">
        <w:t xml:space="preserve"> por unanimidade</w:t>
      </w:r>
      <w:r w:rsidR="000974E8">
        <w:t>,</w:t>
      </w:r>
      <w:r w:rsidR="007F2FEA">
        <w:t xml:space="preserve"> conforme </w:t>
      </w:r>
      <w:r w:rsidR="000974E8">
        <w:t xml:space="preserve"> parecer </w:t>
      </w:r>
      <w:r w:rsidR="007F2FEA">
        <w:t>20.668.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 xml:space="preserve">Dessa forma, transitou em julgado </w:t>
      </w:r>
      <w:r w:rsidR="007F2FEA">
        <w:t>10/09/2020</w:t>
      </w:r>
      <w:r w:rsidR="00DB3ADE">
        <w:t xml:space="preserve">, </w:t>
      </w:r>
      <w:r>
        <w:t>sendo remetido ao legislativo Municipal para analise e aprovação.</w:t>
      </w: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0974E8" w:rsidRDefault="000974E8" w:rsidP="00DA0407">
      <w:pPr>
        <w:spacing w:before="100" w:beforeAutospacing="1" w:after="100" w:afterAutospacing="1" w:line="360" w:lineRule="auto"/>
        <w:ind w:firstLine="708"/>
        <w:jc w:val="both"/>
      </w:pPr>
    </w:p>
    <w:p w:rsidR="0071613C" w:rsidRDefault="0071613C" w:rsidP="007F2FEA">
      <w:pPr>
        <w:spacing w:before="100" w:beforeAutospacing="1" w:after="100" w:afterAutospacing="1" w:line="360" w:lineRule="auto"/>
        <w:jc w:val="both"/>
      </w:pPr>
    </w:p>
    <w:p w:rsidR="00DA0407" w:rsidRDefault="00DA0407" w:rsidP="000974E8">
      <w:pPr>
        <w:spacing w:before="100" w:beforeAutospacing="1" w:after="100" w:afterAutospacing="1" w:line="360" w:lineRule="auto"/>
        <w:ind w:firstLine="708"/>
        <w:jc w:val="both"/>
      </w:pPr>
      <w:r>
        <w:t xml:space="preserve">Após análise do processo </w:t>
      </w:r>
      <w:r w:rsidR="000974E8" w:rsidRPr="00560E8F">
        <w:t xml:space="preserve">N° </w:t>
      </w:r>
      <w:r w:rsidR="007F2FEA">
        <w:rPr>
          <w:color w:val="000000"/>
          <w:sz w:val="27"/>
          <w:szCs w:val="27"/>
        </w:rPr>
        <w:t>001789-02.00/18-6</w:t>
      </w:r>
      <w:r>
        <w:t xml:space="preserve">, conclui-se que as contas foram aprovadas conforme decisões </w:t>
      </w:r>
      <w:r w:rsidR="007F2FEA">
        <w:t>acima citadas</w:t>
      </w:r>
      <w:r>
        <w:t>, sendo que o Tribunal de Contas somente solicitou esclarecimentos a cerca de um Item</w:t>
      </w:r>
      <w:r w:rsidR="007F2FEA">
        <w:t>, o  8</w:t>
      </w:r>
      <w:r w:rsidR="007F2FEA" w:rsidRPr="007F2FEA">
        <w:rPr>
          <w:b/>
        </w:rPr>
        <w:t>.2.2.1</w:t>
      </w:r>
      <w:r w:rsidRPr="007F2FEA">
        <w:rPr>
          <w:b/>
        </w:rPr>
        <w:t xml:space="preserve"> </w:t>
      </w:r>
      <w:r w:rsidR="007F2FEA" w:rsidRPr="007F2FEA">
        <w:rPr>
          <w:b/>
        </w:rPr>
        <w:t>, referente a ajustes de despesa com pessoal</w:t>
      </w:r>
      <w:r w:rsidR="007F2FEA">
        <w:t xml:space="preserve">. </w:t>
      </w:r>
      <w:r>
        <w:t xml:space="preserve">Intimado para prestar os devidos </w:t>
      </w:r>
      <w:r w:rsidR="00073669">
        <w:t>esclarecimentos, o</w:t>
      </w:r>
      <w:r>
        <w:t xml:space="preserve"> Sr. </w:t>
      </w:r>
      <w:r w:rsidR="00F95BF2">
        <w:t>Marcos Andre Piaia</w:t>
      </w:r>
      <w:r>
        <w:t xml:space="preserve">, Prefeito em </w:t>
      </w:r>
      <w:r w:rsidR="00DB3ADE">
        <w:t>Exercício</w:t>
      </w:r>
      <w:r>
        <w:t xml:space="preserve"> no ano de </w:t>
      </w:r>
      <w:r w:rsidR="007F2FEA">
        <w:t>2018</w:t>
      </w:r>
      <w:r w:rsidR="00557E73">
        <w:t>,</w:t>
      </w:r>
      <w:r>
        <w:t xml:space="preserve"> </w:t>
      </w:r>
      <w:r w:rsidR="007F2FEA">
        <w:t>prestou esclarecimentos por intermédio de seus procuradores.</w:t>
      </w:r>
    </w:p>
    <w:p w:rsidR="00DA0407" w:rsidRDefault="00DA0407" w:rsidP="00DA0407">
      <w:pPr>
        <w:spacing w:before="100" w:beforeAutospacing="1" w:after="100" w:afterAutospacing="1" w:line="360" w:lineRule="auto"/>
        <w:ind w:firstLine="708"/>
        <w:jc w:val="both"/>
      </w:pPr>
      <w:r>
        <w:t>Diante dos esclarecimentos o Tribunal deu prosseguimento ao processo que conforme relatado anteriormente transitou em julgado e foi rem</w:t>
      </w:r>
      <w:r w:rsidR="009F2C1A">
        <w:t>etido conforme procedimento ao L</w:t>
      </w:r>
      <w:r>
        <w:t>egislativo.</w:t>
      </w:r>
    </w:p>
    <w:p w:rsidR="00F5545A" w:rsidRDefault="009F2C1A" w:rsidP="007F2FEA">
      <w:pPr>
        <w:spacing w:before="100" w:beforeAutospacing="1" w:after="100" w:afterAutospacing="1" w:line="360" w:lineRule="auto"/>
        <w:ind w:firstLine="708"/>
        <w:jc w:val="both"/>
      </w:pPr>
      <w:r>
        <w:t>Em face do exposto, diante</w:t>
      </w:r>
      <w:r w:rsidR="00DA0407">
        <w:t xml:space="preserve"> da análise das decisões do Tribunal de Contas expressas por meio de seus</w:t>
      </w:r>
      <w:r>
        <w:t xml:space="preserve"> relatórios,</w:t>
      </w:r>
      <w:r w:rsidR="00DA0407">
        <w:t xml:space="preserve"> pareceres</w:t>
      </w:r>
      <w:r>
        <w:t xml:space="preserve"> e decisões </w:t>
      </w:r>
      <w:r w:rsidR="00DA0407">
        <w:t>ao longo do proc</w:t>
      </w:r>
      <w:r>
        <w:t xml:space="preserve">esso, e principalmente, diante </w:t>
      </w:r>
      <w:r w:rsidR="00DA0407">
        <w:t>da decisão de a</w:t>
      </w:r>
      <w:r w:rsidR="000974E8">
        <w:t xml:space="preserve">provação das contas por parte da </w:t>
      </w:r>
      <w:r w:rsidR="007F2FEA">
        <w:t>Segunda</w:t>
      </w:r>
      <w:r w:rsidR="000974E8">
        <w:t xml:space="preserve"> Câmara</w:t>
      </w:r>
      <w:r w:rsidR="00DA0407">
        <w:t xml:space="preserve"> </w:t>
      </w:r>
      <w:r w:rsidR="0071613C">
        <w:t xml:space="preserve">do </w:t>
      </w:r>
      <w:r w:rsidR="00DA0407">
        <w:t>Tribunal de Contas</w:t>
      </w:r>
      <w:r w:rsidR="000974E8">
        <w:t xml:space="preserve"> e do Ministério Público de Contas</w:t>
      </w:r>
      <w:r w:rsidR="00DA0407">
        <w:t>, bem como, por ter o processo seguido todos os trâmites legais e constitucionais</w:t>
      </w:r>
      <w:r>
        <w:t>,</w:t>
      </w:r>
      <w:r w:rsidR="00DA0407">
        <w:t xml:space="preserve"> esta Assessoria considera o presente Projeto </w:t>
      </w:r>
      <w:r w:rsidR="003728AA" w:rsidRPr="00F5545A">
        <w:t>LEGAL e CONSTITUCIONA</w:t>
      </w:r>
      <w:r w:rsidR="00F5545A" w:rsidRPr="00F5545A">
        <w:t>L</w:t>
      </w:r>
      <w:r w:rsidR="00190B20">
        <w:t>,</w:t>
      </w:r>
      <w:r w:rsidR="00F5545A">
        <w:t xml:space="preserve"> razão pela qual O PARECER </w:t>
      </w:r>
      <w:r w:rsidR="004519AD">
        <w:t>é FAVORÁVEL, estando apto a ser analisado pelo legislativo.</w:t>
      </w:r>
    </w:p>
    <w:p w:rsidR="0071613C" w:rsidRDefault="0071613C" w:rsidP="004519AD">
      <w:pPr>
        <w:spacing w:before="100" w:beforeAutospacing="1" w:after="100" w:afterAutospacing="1" w:line="360" w:lineRule="auto"/>
        <w:ind w:firstLine="708"/>
        <w:jc w:val="right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7F2FEA">
        <w:t>09 de dezembro de 2020.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r>
        <w:t>Jaqueli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73669"/>
    <w:rsid w:val="00080C81"/>
    <w:rsid w:val="000974E8"/>
    <w:rsid w:val="000A0262"/>
    <w:rsid w:val="000B2EF6"/>
    <w:rsid w:val="000C2418"/>
    <w:rsid w:val="000C7BE3"/>
    <w:rsid w:val="000D44C9"/>
    <w:rsid w:val="001058CA"/>
    <w:rsid w:val="00153BDF"/>
    <w:rsid w:val="00187213"/>
    <w:rsid w:val="00190B20"/>
    <w:rsid w:val="001C2EBC"/>
    <w:rsid w:val="001E2BB5"/>
    <w:rsid w:val="00272DBA"/>
    <w:rsid w:val="00292820"/>
    <w:rsid w:val="00302C7E"/>
    <w:rsid w:val="003728AA"/>
    <w:rsid w:val="00411F3E"/>
    <w:rsid w:val="0043704E"/>
    <w:rsid w:val="004519AD"/>
    <w:rsid w:val="00470828"/>
    <w:rsid w:val="004A0680"/>
    <w:rsid w:val="004B61C3"/>
    <w:rsid w:val="00557E73"/>
    <w:rsid w:val="00572EA8"/>
    <w:rsid w:val="005A111E"/>
    <w:rsid w:val="005F4291"/>
    <w:rsid w:val="005F4C86"/>
    <w:rsid w:val="0067076C"/>
    <w:rsid w:val="006A48FD"/>
    <w:rsid w:val="006E6548"/>
    <w:rsid w:val="0071613C"/>
    <w:rsid w:val="007671C6"/>
    <w:rsid w:val="00784B63"/>
    <w:rsid w:val="007A6275"/>
    <w:rsid w:val="007F2FEA"/>
    <w:rsid w:val="00852F08"/>
    <w:rsid w:val="00872569"/>
    <w:rsid w:val="008A7D42"/>
    <w:rsid w:val="008C12A9"/>
    <w:rsid w:val="008D1BDD"/>
    <w:rsid w:val="008E0A51"/>
    <w:rsid w:val="00911412"/>
    <w:rsid w:val="00957502"/>
    <w:rsid w:val="00960A67"/>
    <w:rsid w:val="009708BC"/>
    <w:rsid w:val="009A3D91"/>
    <w:rsid w:val="009B4136"/>
    <w:rsid w:val="009C1734"/>
    <w:rsid w:val="009E0FA8"/>
    <w:rsid w:val="009F2C1A"/>
    <w:rsid w:val="00A871A8"/>
    <w:rsid w:val="00A957D6"/>
    <w:rsid w:val="00B20680"/>
    <w:rsid w:val="00B510D4"/>
    <w:rsid w:val="00B86EFB"/>
    <w:rsid w:val="00C02A62"/>
    <w:rsid w:val="00CD7281"/>
    <w:rsid w:val="00D72142"/>
    <w:rsid w:val="00DA0407"/>
    <w:rsid w:val="00DA4004"/>
    <w:rsid w:val="00DB3ADE"/>
    <w:rsid w:val="00DB5A04"/>
    <w:rsid w:val="00DE39ED"/>
    <w:rsid w:val="00DE512A"/>
    <w:rsid w:val="00F236FE"/>
    <w:rsid w:val="00F3168C"/>
    <w:rsid w:val="00F44A07"/>
    <w:rsid w:val="00F5545A"/>
    <w:rsid w:val="00F826D6"/>
    <w:rsid w:val="00F95BF2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35396-B6C9-457E-BE81-55634719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2020-12-09T17:10:00Z</dcterms:created>
  <dcterms:modified xsi:type="dcterms:W3CDTF">2020-12-09T17:10:00Z</dcterms:modified>
</cp:coreProperties>
</file>